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  <w:t>Вопросы для подготовки к зачету по дисциплине</w:t>
      </w:r>
    </w:p>
    <w:p>
      <w:pPr>
        <w:numPr>
          <w:numId w:val="0"/>
        </w:num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  <w:t xml:space="preserve">«Патентоведение продуктов питания из </w:t>
      </w:r>
    </w:p>
    <w:p>
      <w:pPr>
        <w:numPr>
          <w:numId w:val="0"/>
        </w:num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  <w:t>растительного сырья»</w:t>
      </w:r>
    </w:p>
    <w:p>
      <w:pPr>
        <w:numPr>
          <w:numId w:val="0"/>
        </w:num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</w:p>
    <w:p>
      <w:pPr>
        <w:numPr>
          <w:numId w:val="0"/>
        </w:num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</w:p>
    <w:p>
      <w:pPr>
        <w:numPr>
          <w:ilvl w:val="0"/>
          <w:numId w:val="1"/>
        </w:num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ОНЯТИЕ ИЗОБРЕТЕНИЯ И ПРИЗНАКИ ЕГО ПАТЕНТОСПОСОБНОСТИ </w:t>
      </w: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ОНЯТИЕ И ПРИЗНАКИ ПОЛЕЗНОЙ МОДЕЛИ 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ОНЯТИЕ И ПРИЗНАКИ ПРОМЫШЛЕННОГО ОБРАЗЦА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4.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ОНЯТИЕ ПАТЕНТА 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5.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УБЪЕКТЫ ПАТЕНТНОГО ПРАВА 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6.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О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ФОРМЛЕНИЕ И ПОДАЧА ЗАЯВКИ 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7.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Р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АССМОТРЕНИЕ ЗАЯВКИ В ПАТЕНТНОМ ВЕДОМСТВЕ 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8.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ПРАВА АВТОРОВ ОБЪЕКТОВ ПРОМЫШЛЕННОЙ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СОБСТВЕННОСТИ </w:t>
      </w:r>
    </w:p>
    <w:p>
      <w:pPr>
        <w:numPr>
          <w:ilvl w:val="0"/>
          <w:numId w:val="2"/>
        </w:num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РИНЦИПЫ И ФОРМЫ АВТОРСКОГО ПРАВА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РАВА АВТОРОВ И ПАТЕНТООБЛАДАТЕЛЕЙ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ПОСОБЫ ЗАЩИТЫ НАРУШЕННЫХ ПРАВ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ТОРГОВЛЯ ЛИЦЕНЗИЯМИ И НОУ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ХАУ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Л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ИЦЕНЗИЯ И СВЯЗАННЫЕ С НЕЙ ПОНЯТИЯ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ОСУДАРСТВЕННОЕ И НАЦИОНАЛЬНОЕ РЕГУЛИРОВАНИЕ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ЛИЦЕНЗИОННЫХ ОПЕРАЦИЙ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Ф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ОРМЫ И МЕТОДЫ ОБМЕНА ТЕХНОЛОГИЕЙ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МЕЖДУНАРОДНО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ПРАВОВАЯ ОХРАНА ПРАВ НА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ПРОМЫШЛЕННУЮ СОБСТВЕННОСТЬ 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ОНЯТИЕ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«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ПРОМЫШЛЕННАЯ СОБСТВЕННОСТЬ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»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 МЕЖДУНАРОДНОМ</w:t>
      </w: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ЧАСТНОМ ПРАВЕ</w:t>
      </w: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>18 .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РАВОВОЕ РЕГУЛИРОВАНИЕ В РАМКАХ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СНГ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 ОХРАНЕ И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ИСПОЛЬЗОВАНИЮ ПРОМЫШЛЕННОЙ СОБСТВЕННОСТИ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АТЕНТОВАНИЕ ИЗОБРЕТЕНИЙ</w:t>
      </w:r>
    </w:p>
    <w:p>
      <w:pPr>
        <w:numPr>
          <w:numId w:val="0"/>
        </w:numPr>
        <w:jc w:val="both"/>
        <w:rPr>
          <w:rFonts w:hint="default" w:ascii="Times New Roman" w:hAnsi="Times New Roman" w:eastAsia="TimesNewRoman" w:cs="Times New Roman"/>
          <w:sz w:val="28"/>
          <w:szCs w:val="28"/>
        </w:rPr>
      </w:pPr>
    </w:p>
    <w:p>
      <w:pPr>
        <w:numPr>
          <w:numId w:val="0"/>
        </w:numPr>
        <w:jc w:val="both"/>
        <w:rPr>
          <w:rFonts w:hint="default" w:ascii="Times New Roman" w:hAnsi="Times New Roman" w:eastAsia="TimesNewRoman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Зав.кафедрой                        Е.С.Романенко        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Экзаменационные вопросы  утверждены на заседании кафедр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производства и переработки продуктов питания из растительного сырья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протокол № 1 от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.08.20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>
      <w:pPr>
        <w:numPr>
          <w:numId w:val="0"/>
        </w:numPr>
        <w:jc w:val="both"/>
        <w:rPr>
          <w:rFonts w:hint="default" w:ascii="Times New Roman" w:hAnsi="Times New Roman" w:eastAsia="TimesNewRoman" w:cs="Times New Roman"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05F3D"/>
    <w:multiLevelType w:val="singleLevel"/>
    <w:tmpl w:val="ECA05F3D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09F7BB42"/>
    <w:multiLevelType w:val="singleLevel"/>
    <w:tmpl w:val="09F7BB4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17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2022-12-14T14:52:36Z</dcterms:created>
  <dc:creator>Admin</dc:creator>
  <cp:lastModifiedBy>Admin</cp:lastModifiedBy>
  <dcterms:modified xsi:type="dcterms:W3CDTF">2022-12-14T14:57:43Z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4D989336068840D782FB96FD52D1AB61</vt:lpwstr>
  </property>
</Properties>
</file>